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4924425" cy="1343025"/>
            <wp:effectExtent l="19050" t="0" r="9525" b="0"/>
            <wp:docPr id="1" name="图片 0" descr="ic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cte_logo.jpg"/>
                    <pic:cNvPicPr>
                      <a:picLocks noChangeAspect="1"/>
                    </pic:cNvPicPr>
                  </pic:nvPicPr>
                  <pic:blipFill>
                    <a:blip r:embed="rId4" cstate="print"/>
                    <a:stretch>
                      <a:fillRect/>
                    </a:stretch>
                  </pic:blipFill>
                  <pic:spPr>
                    <a:xfrm>
                      <a:off x="0" y="0"/>
                      <a:ext cx="4924425" cy="1343582"/>
                    </a:xfrm>
                    <a:prstGeom prst="rect">
                      <a:avLst/>
                    </a:prstGeom>
                  </pic:spPr>
                </pic:pic>
              </a:graphicData>
            </a:graphic>
          </wp:inline>
        </w:drawing>
      </w:r>
    </w:p>
    <w:p>
      <w:pPr>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第六届交通运输工程国际学术会议 (ICTE 2019)</w:t>
      </w:r>
    </w:p>
    <w:p>
      <w:pPr>
        <w:spacing w:line="360" w:lineRule="exact"/>
        <w:rPr>
          <w:rFonts w:ascii="微软雅黑" w:hAnsi="微软雅黑" w:eastAsia="微软雅黑" w:cs="微软雅黑"/>
          <w:b/>
          <w:spacing w:val="-9"/>
          <w:sz w:val="24"/>
          <w:szCs w:val="24"/>
        </w:rPr>
      </w:pPr>
      <w:r>
        <w:rPr>
          <w:rFonts w:hint="eastAsia" w:ascii="微软雅黑" w:hAnsi="微软雅黑" w:eastAsia="微软雅黑" w:cs="微软雅黑"/>
          <w:b/>
          <w:spacing w:val="-9"/>
          <w:sz w:val="24"/>
          <w:szCs w:val="24"/>
        </w:rPr>
        <w:t>The Sixth International Conference on Transportation Engineering (ICTE 2019)</w:t>
      </w:r>
    </w:p>
    <w:p>
      <w:pPr>
        <w:spacing w:line="360" w:lineRule="exact"/>
        <w:jc w:val="center"/>
        <w:rPr>
          <w:rFonts w:ascii="微软雅黑" w:hAnsi="微软雅黑" w:eastAsia="微软雅黑" w:cs="微软雅黑"/>
          <w:b/>
          <w:spacing w:val="-9"/>
          <w:sz w:val="24"/>
          <w:szCs w:val="24"/>
        </w:rPr>
      </w:pPr>
      <w:r>
        <w:rPr>
          <w:rFonts w:hint="eastAsia" w:ascii="微软雅黑" w:hAnsi="微软雅黑" w:eastAsia="微软雅黑" w:cs="微软雅黑"/>
          <w:b/>
          <w:spacing w:val="-9"/>
          <w:sz w:val="24"/>
          <w:szCs w:val="24"/>
        </w:rPr>
        <w:t>2019年9月20日-2019年9月22日</w:t>
      </w:r>
    </w:p>
    <w:p>
      <w:pPr>
        <w:spacing w:line="360" w:lineRule="exact"/>
        <w:jc w:val="center"/>
        <w:rPr>
          <w:rFonts w:ascii="微软雅黑" w:hAnsi="微软雅黑" w:eastAsia="微软雅黑" w:cs="微软雅黑"/>
          <w:b/>
          <w:spacing w:val="-9"/>
          <w:sz w:val="24"/>
          <w:szCs w:val="24"/>
        </w:rPr>
      </w:pPr>
      <w:r>
        <w:rPr>
          <w:rFonts w:hint="eastAsia" w:ascii="微软雅黑" w:hAnsi="微软雅黑" w:eastAsia="微软雅黑" w:cs="微软雅黑"/>
          <w:b/>
          <w:spacing w:val="-9"/>
          <w:sz w:val="24"/>
          <w:szCs w:val="24"/>
        </w:rPr>
        <w:t>中国  成都</w:t>
      </w:r>
    </w:p>
    <w:p>
      <w:pPr>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邀 请 函</w:t>
      </w:r>
    </w:p>
    <w:p>
      <w:r>
        <w:rPr>
          <w:rFonts w:hint="eastAsia" w:ascii="微软雅黑" w:hAnsi="微软雅黑" w:eastAsia="微软雅黑" w:cs="微软雅黑"/>
        </w:rPr>
        <w:t>尊敬的先生/女士：</w:t>
      </w:r>
    </w:p>
    <w:p>
      <w:pPr>
        <w:spacing w:line="360" w:lineRule="exact"/>
        <w:ind w:firstLine="420" w:firstLineChars="200"/>
        <w:rPr>
          <w:rFonts w:ascii="微软雅黑" w:hAnsi="微软雅黑" w:eastAsia="微软雅黑" w:cs="微软雅黑"/>
        </w:rPr>
      </w:pPr>
      <w:r>
        <w:rPr>
          <w:rFonts w:hint="eastAsia" w:ascii="微软雅黑" w:hAnsi="微软雅黑" w:eastAsia="微软雅黑" w:cs="微软雅黑"/>
        </w:rPr>
        <w:t>第六届交通运输工程国际学术会议定于2019年9月20日一22日在四川成都</w:t>
      </w:r>
      <w:r>
        <w:rPr>
          <w:rFonts w:ascii="微软雅黑" w:hAnsi="微软雅黑" w:eastAsia="微软雅黑" w:cs="微软雅黑"/>
        </w:rPr>
        <w:t>天府</w:t>
      </w:r>
      <w:r>
        <w:rPr>
          <w:rFonts w:hint="eastAsia" w:ascii="微软雅黑" w:hAnsi="微软雅黑" w:eastAsia="微软雅黑" w:cs="微软雅黑"/>
        </w:rPr>
        <w:t>丽都</w:t>
      </w:r>
      <w:r>
        <w:rPr>
          <w:rFonts w:ascii="微软雅黑" w:hAnsi="微软雅黑" w:eastAsia="微软雅黑" w:cs="微软雅黑"/>
        </w:rPr>
        <w:t>喜来登饭店</w:t>
      </w:r>
      <w:r>
        <w:rPr>
          <w:rFonts w:hint="eastAsia" w:ascii="微软雅黑" w:hAnsi="微软雅黑" w:eastAsia="微软雅黑" w:cs="微软雅黑"/>
        </w:rPr>
        <w:t>举行。大会将本着“一带一路、互联互通、移动共享、绿色智能”的宗旨进行，为国内外交通运输专家和学者搭建一个学术交流的平台。本次会议将邀请多名国内外专家学者就最新的研究成果和创新技术作专题报告，并组织与会代表进行深入的学术交流和讨论，是交通运输工程研究领域的一次高层次、高水平的大型国际学术会议。</w:t>
      </w:r>
    </w:p>
    <w:p>
      <w:pPr>
        <w:spacing w:line="360" w:lineRule="exact"/>
        <w:ind w:firstLine="420" w:firstLineChars="200"/>
        <w:rPr>
          <w:rFonts w:ascii="微软雅黑" w:hAnsi="微软雅黑" w:eastAsia="微软雅黑" w:cs="微软雅黑"/>
        </w:rPr>
      </w:pPr>
      <w:r>
        <w:rPr>
          <w:rFonts w:hint="eastAsia" w:ascii="微软雅黑" w:hAnsi="微软雅黑" w:eastAsia="微软雅黑" w:cs="微软雅黑"/>
        </w:rPr>
        <w:t>会议主要议题包括：</w:t>
      </w:r>
    </w:p>
    <w:tbl>
      <w:tblPr>
        <w:tblStyle w:val="7"/>
        <w:tblW w:w="8232"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5"/>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“一带一路”综合交通运输体系</w:t>
            </w:r>
          </w:p>
        </w:tc>
        <w:tc>
          <w:tcPr>
            <w:tcW w:w="3827"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现代物流及供应链管理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智慧移动和共享交通</w:t>
            </w:r>
          </w:p>
        </w:tc>
        <w:tc>
          <w:tcPr>
            <w:tcW w:w="3827"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道路与铁道工程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智能互联交通系统理论与应用技术</w:t>
            </w:r>
          </w:p>
        </w:tc>
        <w:tc>
          <w:tcPr>
            <w:tcW w:w="3827"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绿色交通和低碳交通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交通运输规划与资源配置</w:t>
            </w:r>
          </w:p>
        </w:tc>
        <w:tc>
          <w:tcPr>
            <w:tcW w:w="3827"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人工智能与交通大数据应用技术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交通控制与信息技术</w:t>
            </w:r>
          </w:p>
        </w:tc>
        <w:tc>
          <w:tcPr>
            <w:tcW w:w="3827"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运输组织优化理论与方法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交通运输与社会经济发展</w:t>
            </w:r>
          </w:p>
        </w:tc>
        <w:tc>
          <w:tcPr>
            <w:tcW w:w="3827" w:type="dxa"/>
            <w:vAlign w:val="center"/>
          </w:tcPr>
          <w:p>
            <w:pPr>
              <w:numPr>
                <w:ilvl w:val="0"/>
                <w:numId w:val="1"/>
              </w:numPr>
              <w:rPr>
                <w:sz w:val="24"/>
              </w:rPr>
            </w:pPr>
            <w:r>
              <w:rPr>
                <w:rFonts w:hint="eastAsia" w:ascii="微软雅黑" w:hAnsi="微软雅黑" w:eastAsia="微软雅黑" w:cs="微软雅黑"/>
              </w:rPr>
              <w:t>铁路重载运输组织技术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交通运输安全、环境保护与可持续发展</w:t>
            </w:r>
          </w:p>
        </w:tc>
        <w:tc>
          <w:tcPr>
            <w:tcW w:w="3827" w:type="dxa"/>
            <w:vAlign w:val="center"/>
          </w:tcPr>
          <w:p>
            <w:pPr>
              <w:numPr>
                <w:ilvl w:val="0"/>
                <w:numId w:val="1"/>
              </w:numPr>
              <w:ind w:left="0" w:firstLine="0"/>
              <w:rPr>
                <w:rFonts w:ascii="微软雅黑" w:hAnsi="微软雅黑" w:eastAsia="微软雅黑" w:cs="微软雅黑"/>
              </w:rPr>
            </w:pPr>
            <w:r>
              <w:rPr>
                <w:rFonts w:hint="eastAsia" w:ascii="微软雅黑" w:hAnsi="微软雅黑" w:eastAsia="微软雅黑" w:cs="微软雅黑"/>
              </w:rPr>
              <w:t>运输装备性能分析及可靠性研究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城市轨道交通网络化运营技术</w:t>
            </w:r>
          </w:p>
        </w:tc>
        <w:tc>
          <w:tcPr>
            <w:tcW w:w="3827" w:type="dxa"/>
            <w:vAlign w:val="center"/>
          </w:tcPr>
          <w:p>
            <w:pPr>
              <w:numPr>
                <w:ilvl w:val="0"/>
                <w:numId w:val="1"/>
              </w:numPr>
              <w:ind w:left="0" w:firstLine="0"/>
              <w:rPr>
                <w:rFonts w:ascii="微软雅黑" w:hAnsi="微软雅黑" w:eastAsia="微软雅黑" w:cs="微软雅黑"/>
              </w:rPr>
            </w:pPr>
            <w:r>
              <w:rPr>
                <w:rFonts w:hint="eastAsia" w:ascii="微软雅黑" w:hAnsi="微软雅黑" w:eastAsia="微软雅黑" w:cs="微软雅黑"/>
              </w:rPr>
              <w:t>轨道工程结构与安全技术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4405" w:type="dxa"/>
            <w:vAlign w:val="center"/>
          </w:tcPr>
          <w:p>
            <w:pPr>
              <w:numPr>
                <w:ilvl w:val="0"/>
                <w:numId w:val="1"/>
              </w:numPr>
              <w:rPr>
                <w:rFonts w:ascii="微软雅黑" w:hAnsi="微软雅黑" w:eastAsia="微软雅黑" w:cs="微软雅黑"/>
              </w:rPr>
            </w:pPr>
            <w:r>
              <w:rPr>
                <w:rFonts w:hint="eastAsia" w:ascii="微软雅黑" w:hAnsi="微软雅黑" w:eastAsia="微软雅黑" w:cs="微软雅黑"/>
              </w:rPr>
              <w:t>高速铁路运营组织与运营安全</w:t>
            </w:r>
          </w:p>
        </w:tc>
        <w:tc>
          <w:tcPr>
            <w:tcW w:w="3827" w:type="dxa"/>
            <w:vAlign w:val="center"/>
          </w:tcPr>
          <w:p>
            <w:pPr>
              <w:numPr>
                <w:ilvl w:val="0"/>
                <w:numId w:val="1"/>
              </w:numPr>
              <w:ind w:left="0" w:firstLine="0"/>
              <w:rPr>
                <w:rFonts w:ascii="微软雅黑" w:hAnsi="微软雅黑" w:eastAsia="微软雅黑" w:cs="微软雅黑"/>
              </w:rPr>
            </w:pPr>
            <w:r>
              <w:rPr>
                <w:rFonts w:hint="eastAsia" w:ascii="微软雅黑" w:hAnsi="微软雅黑" w:eastAsia="微软雅黑" w:cs="微软雅黑"/>
              </w:rPr>
              <w:t>灾害评估及防治技术</w:t>
            </w:r>
          </w:p>
        </w:tc>
      </w:tr>
    </w:tbl>
    <w:p>
      <w:pPr>
        <w:spacing w:line="360" w:lineRule="exact"/>
        <w:ind w:firstLine="440" w:firstLineChars="200"/>
        <w:rPr>
          <w:rFonts w:ascii="微软雅黑" w:hAnsi="微软雅黑" w:eastAsia="微软雅黑" w:cs="微软雅黑"/>
        </w:rPr>
      </w:pPr>
      <w:r>
        <w:rPr>
          <w:rFonts w:hint="eastAsia"/>
          <w:sz w:val="22"/>
          <w:szCs w:val="21"/>
        </w:rPr>
        <w:drawing>
          <wp:anchor distT="0" distB="0" distL="114300" distR="114300" simplePos="0" relativeHeight="251656192" behindDoc="1" locked="0" layoutInCell="1" allowOverlap="1">
            <wp:simplePos x="0" y="0"/>
            <wp:positionH relativeFrom="column">
              <wp:posOffset>4064000</wp:posOffset>
            </wp:positionH>
            <wp:positionV relativeFrom="paragraph">
              <wp:posOffset>401955</wp:posOffset>
            </wp:positionV>
            <wp:extent cx="1544320" cy="1562100"/>
            <wp:effectExtent l="266700" t="266700" r="208280" b="247650"/>
            <wp:wrapNone/>
            <wp:docPr id="6" name="图片 6" descr="455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5545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20098414">
                      <a:off x="0" y="0"/>
                      <a:ext cx="1544400" cy="1562400"/>
                    </a:xfrm>
                    <a:prstGeom prst="rect">
                      <a:avLst/>
                    </a:prstGeom>
                    <a:noFill/>
                    <a:ln>
                      <a:noFill/>
                    </a:ln>
                  </pic:spPr>
                </pic:pic>
              </a:graphicData>
            </a:graphic>
          </wp:anchor>
        </w:drawing>
      </w:r>
      <w:r>
        <w:rPr>
          <w:rFonts w:hint="eastAsia" w:ascii="微软雅黑" w:hAnsi="微软雅黑" w:eastAsia="微软雅黑" w:cs="微软雅黑"/>
        </w:rPr>
        <w:t>届时将有国内外交通运输领域的学者展现其最新的研究成果，共同交流进步。本次大会将为您搭建一个高水平的学术交流平台，创造与其他学者交流的良好机会。</w:t>
      </w:r>
    </w:p>
    <w:p>
      <w:pPr>
        <w:spacing w:line="360" w:lineRule="exact"/>
        <w:ind w:firstLine="420" w:firstLineChars="200"/>
        <w:rPr>
          <w:rFonts w:ascii="微软雅黑" w:hAnsi="微软雅黑" w:eastAsia="微软雅黑" w:cs="微软雅黑"/>
        </w:rPr>
      </w:pPr>
      <w:r>
        <w:rPr>
          <w:rFonts w:hint="eastAsia" w:ascii="微软雅黑" w:hAnsi="微软雅黑" w:eastAsia="微软雅黑" w:cs="微软雅黑"/>
        </w:rPr>
        <w:t>会议盛情邀请您参加!</w:t>
      </w:r>
    </w:p>
    <w:p>
      <w:pPr>
        <w:spacing w:line="360" w:lineRule="exact"/>
        <w:rPr>
          <w:rFonts w:ascii="微软雅黑" w:hAnsi="微软雅黑" w:eastAsia="微软雅黑" w:cs="微软雅黑"/>
          <w:b/>
          <w:sz w:val="24"/>
          <w:szCs w:val="24"/>
        </w:rPr>
      </w:pPr>
    </w:p>
    <w:p>
      <w:pPr>
        <w:spacing w:line="360" w:lineRule="exact"/>
        <w:ind w:firstLine="560" w:firstLineChars="200"/>
        <w:jc w:val="center"/>
        <w:outlineLvl w:val="0"/>
        <w:rPr>
          <w:rFonts w:ascii="微软雅黑" w:hAnsi="微软雅黑" w:eastAsia="微软雅黑" w:cs="微软雅黑"/>
          <w:b/>
          <w:sz w:val="28"/>
          <w:szCs w:val="28"/>
        </w:rPr>
      </w:pPr>
      <w:r>
        <w:rPr>
          <w:rFonts w:hint="eastAsia" w:ascii="微软雅黑" w:hAnsi="微软雅黑" w:eastAsia="微软雅黑" w:cs="微软雅黑"/>
          <w:b/>
          <w:sz w:val="28"/>
          <w:szCs w:val="28"/>
        </w:rPr>
        <w:t xml:space="preserve">                                    </w:t>
      </w:r>
      <w:r>
        <w:rPr>
          <w:rFonts w:ascii="微软雅黑" w:hAnsi="微软雅黑" w:eastAsia="微软雅黑" w:cs="微软雅黑"/>
          <w:b/>
          <w:sz w:val="28"/>
          <w:szCs w:val="28"/>
        </w:rPr>
        <w:t xml:space="preserve">   </w:t>
      </w:r>
      <w:r>
        <w:rPr>
          <w:rFonts w:hint="eastAsia" w:ascii="微软雅黑" w:hAnsi="微软雅黑" w:eastAsia="微软雅黑" w:cs="微软雅黑"/>
          <w:b/>
          <w:sz w:val="28"/>
          <w:szCs w:val="28"/>
        </w:rPr>
        <w:t xml:space="preserve"> ICTE 组委会</w:t>
      </w:r>
    </w:p>
    <w:p>
      <w:pPr>
        <w:spacing w:line="360" w:lineRule="exact"/>
        <w:ind w:firstLine="560" w:firstLineChars="200"/>
        <w:rPr>
          <w:rFonts w:ascii="微软雅黑" w:hAnsi="微软雅黑" w:eastAsia="微软雅黑" w:cs="微软雅黑"/>
          <w:b/>
          <w:sz w:val="28"/>
          <w:szCs w:val="28"/>
        </w:rPr>
      </w:pPr>
      <w:r>
        <w:rPr>
          <w:rFonts w:hint="eastAsia" w:ascii="微软雅黑" w:hAnsi="微软雅黑" w:eastAsia="微软雅黑" w:cs="微软雅黑"/>
          <w:b/>
          <w:sz w:val="28"/>
          <w:szCs w:val="28"/>
        </w:rPr>
        <w:t xml:space="preserve">                                          2019年8月20日</w:t>
      </w:r>
    </w:p>
    <w:p>
      <w:pPr>
        <w:spacing w:line="360" w:lineRule="exact"/>
        <w:rPr>
          <w:b/>
          <w:bCs/>
        </w:rPr>
      </w:pPr>
    </w:p>
    <w:p>
      <w:pPr>
        <w:spacing w:line="360" w:lineRule="exact"/>
      </w:pPr>
      <w:bookmarkStart w:id="0" w:name="_GoBack"/>
      <w:bookmarkEnd w:id="0"/>
      <w:r>
        <w:drawing>
          <wp:anchor distT="0" distB="0" distL="0" distR="0" simplePos="0" relativeHeight="251657216" behindDoc="0" locked="0" layoutInCell="1" allowOverlap="1">
            <wp:simplePos x="0" y="0"/>
            <wp:positionH relativeFrom="column">
              <wp:posOffset>369570</wp:posOffset>
            </wp:positionH>
            <wp:positionV relativeFrom="page">
              <wp:posOffset>975360</wp:posOffset>
            </wp:positionV>
            <wp:extent cx="4924425" cy="1343025"/>
            <wp:effectExtent l="19050" t="0" r="9525" b="0"/>
            <wp:wrapTopAndBottom/>
            <wp:docPr id="17" name="图片 0" descr="ic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0" descr="icte_logo.jpg"/>
                    <pic:cNvPicPr>
                      <a:picLocks noChangeAspect="1"/>
                    </pic:cNvPicPr>
                  </pic:nvPicPr>
                  <pic:blipFill>
                    <a:blip r:embed="rId4" cstate="print"/>
                    <a:stretch>
                      <a:fillRect/>
                    </a:stretch>
                  </pic:blipFill>
                  <pic:spPr>
                    <a:xfrm>
                      <a:off x="0" y="0"/>
                      <a:ext cx="4924425" cy="1343582"/>
                    </a:xfrm>
                    <a:prstGeom prst="rect">
                      <a:avLst/>
                    </a:prstGeom>
                  </pic:spPr>
                </pic:pic>
              </a:graphicData>
            </a:graphic>
          </wp:anchor>
        </w:drawing>
      </w:r>
    </w:p>
    <w:p>
      <w:pPr>
        <w:spacing w:line="360" w:lineRule="exact"/>
        <w:jc w:val="center"/>
        <w:rPr>
          <w:rFonts w:ascii="微软雅黑" w:hAnsi="微软雅黑" w:eastAsia="微软雅黑" w:cs="微软雅黑"/>
          <w:b/>
          <w:sz w:val="36"/>
          <w:szCs w:val="36"/>
        </w:rPr>
      </w:pPr>
      <w:r>
        <w:rPr>
          <w:rFonts w:hint="eastAsia" w:ascii="微软雅黑" w:hAnsi="微软雅黑" w:eastAsia="微软雅黑" w:cs="微软雅黑"/>
          <w:b/>
          <w:sz w:val="36"/>
          <w:szCs w:val="36"/>
        </w:rPr>
        <w:t>第六届交通运输工程国际学术会议 (ICTE 2019)</w:t>
      </w:r>
    </w:p>
    <w:p>
      <w:pPr>
        <w:spacing w:line="360" w:lineRule="exact"/>
        <w:outlineLvl w:val="0"/>
        <w:rPr>
          <w:rFonts w:ascii="微软雅黑" w:hAnsi="微软雅黑" w:eastAsia="微软雅黑" w:cs="微软雅黑"/>
          <w:b/>
          <w:spacing w:val="-9"/>
          <w:sz w:val="24"/>
          <w:szCs w:val="24"/>
        </w:rPr>
      </w:pPr>
      <w:r>
        <w:rPr>
          <w:rFonts w:hint="eastAsia" w:ascii="微软雅黑" w:hAnsi="微软雅黑" w:eastAsia="微软雅黑" w:cs="微软雅黑"/>
          <w:b/>
          <w:spacing w:val="-9"/>
          <w:sz w:val="24"/>
          <w:szCs w:val="24"/>
        </w:rPr>
        <w:t>The Sixth International Conference on Transportation Engineering (ICTE 2019)</w:t>
      </w:r>
    </w:p>
    <w:p>
      <w:pPr>
        <w:spacing w:line="360" w:lineRule="exact"/>
        <w:jc w:val="center"/>
        <w:rPr>
          <w:rFonts w:ascii="微软雅黑" w:hAnsi="微软雅黑" w:eastAsia="微软雅黑" w:cs="微软雅黑"/>
          <w:b/>
          <w:sz w:val="30"/>
          <w:szCs w:val="30"/>
        </w:rPr>
      </w:pPr>
    </w:p>
    <w:p>
      <w:pPr>
        <w:spacing w:line="360" w:lineRule="exact"/>
        <w:jc w:val="center"/>
        <w:rPr>
          <w:rFonts w:ascii="微软雅黑" w:hAnsi="微软雅黑" w:eastAsia="微软雅黑" w:cs="微软雅黑"/>
          <w:b/>
          <w:sz w:val="30"/>
          <w:szCs w:val="30"/>
        </w:rPr>
      </w:pPr>
      <w:r>
        <w:rPr>
          <w:rFonts w:hint="eastAsia" w:ascii="微软雅黑" w:hAnsi="微软雅黑" w:eastAsia="微软雅黑" w:cs="微软雅黑"/>
          <w:b/>
          <w:sz w:val="30"/>
          <w:szCs w:val="30"/>
        </w:rPr>
        <w:t>参会回执</w:t>
      </w:r>
    </w:p>
    <w:tbl>
      <w:tblPr>
        <w:tblStyle w:val="6"/>
        <w:tblpPr w:leftFromText="180" w:rightFromText="180" w:vertAnchor="text" w:horzAnchor="margin" w:tblpXSpec="center" w:tblpY="23"/>
        <w:tblW w:w="10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4"/>
        <w:gridCol w:w="1418"/>
        <w:gridCol w:w="2268"/>
        <w:gridCol w:w="1984"/>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5" w:hRule="atLeast"/>
        </w:trPr>
        <w:tc>
          <w:tcPr>
            <w:tcW w:w="10021"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微软雅黑"/>
                <w:b/>
                <w:sz w:val="24"/>
                <w:szCs w:val="24"/>
                <w:u w:val="single"/>
              </w:rPr>
            </w:pPr>
            <w:r>
              <w:rPr>
                <w:rFonts w:hint="eastAsia" w:ascii="微软雅黑" w:hAnsi="微软雅黑" w:eastAsia="微软雅黑" w:cs="微软雅黑"/>
                <w:b/>
                <w:sz w:val="24"/>
                <w:szCs w:val="24"/>
              </w:rPr>
              <w:t>本人</w:t>
            </w:r>
            <w:r>
              <w:rPr>
                <w:rFonts w:hint="eastAsia" w:ascii="微软雅黑" w:hAnsi="微软雅黑" w:eastAsia="微软雅黑" w:cs="微软雅黑"/>
                <w:b/>
                <w:sz w:val="24"/>
                <w:szCs w:val="24"/>
                <w:u w:val="single"/>
              </w:rPr>
              <w:t xml:space="preserve">          </w:t>
            </w:r>
            <w:r>
              <w:rPr>
                <w:rFonts w:hint="eastAsia" w:ascii="微软雅黑" w:hAnsi="微软雅黑" w:eastAsia="微软雅黑" w:cs="微软雅黑"/>
                <w:b/>
                <w:sz w:val="24"/>
                <w:szCs w:val="24"/>
              </w:rPr>
              <w:t>愿意参加第六届交通运输工程国际学术会议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0"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工作单位：</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性    别：</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0"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住宿安排：</w:t>
            </w:r>
          </w:p>
        </w:tc>
        <w:tc>
          <w:tcPr>
            <w:tcW w:w="8717" w:type="dxa"/>
            <w:gridSpan w:val="4"/>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r>
              <w:rPr>
                <w:rFonts w:ascii="微软雅黑" w:hAnsi="微软雅黑" w:eastAsia="微软雅黑" w:cs="微软雅黑"/>
                <w:b/>
                <w:sz w:val="24"/>
                <w:szCs w:val="24"/>
              </w:rPr>
              <w:sym w:font="Wingdings" w:char="00A8"/>
            </w:r>
            <w:r>
              <w:rPr>
                <w:rFonts w:hint="eastAsia" w:ascii="微软雅黑" w:hAnsi="微软雅黑" w:eastAsia="微软雅黑" w:cs="微软雅黑"/>
                <w:b/>
                <w:sz w:val="24"/>
                <w:szCs w:val="24"/>
              </w:rPr>
              <w:t xml:space="preserve"> 成都</w:t>
            </w:r>
            <w:r>
              <w:rPr>
                <w:rFonts w:ascii="微软雅黑" w:hAnsi="微软雅黑" w:eastAsia="微软雅黑" w:cs="微软雅黑"/>
                <w:b/>
                <w:sz w:val="24"/>
                <w:szCs w:val="24"/>
              </w:rPr>
              <w:t>天府丽都喜来登饭店</w:t>
            </w:r>
            <w:r>
              <w:rPr>
                <w:rFonts w:hint="eastAsia" w:ascii="微软雅黑" w:hAnsi="微软雅黑" w:eastAsia="微软雅黑" w:cs="微软雅黑"/>
                <w:b/>
                <w:sz w:val="24"/>
                <w:szCs w:val="24"/>
              </w:rPr>
              <w:t xml:space="preserve">    </w:t>
            </w:r>
            <w:r>
              <w:rPr>
                <w:rFonts w:ascii="微软雅黑" w:hAnsi="微软雅黑" w:eastAsia="微软雅黑" w:cs="微软雅黑"/>
                <w:b/>
                <w:sz w:val="24"/>
                <w:szCs w:val="24"/>
              </w:rPr>
              <w:sym w:font="Wingdings" w:char="00A8"/>
            </w:r>
            <w:r>
              <w:rPr>
                <w:rFonts w:hint="eastAsia" w:ascii="微软雅黑" w:hAnsi="微软雅黑" w:eastAsia="微软雅黑" w:cs="微软雅黑"/>
                <w:b/>
                <w:sz w:val="24"/>
                <w:szCs w:val="24"/>
              </w:rPr>
              <w:t xml:space="preserve"> 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5"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职务/职称: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通讯地址：</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1"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邮    编：</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手    机：</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5"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E-mail：</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电话及传真：</w:t>
            </w:r>
          </w:p>
        </w:tc>
        <w:tc>
          <w:tcPr>
            <w:tcW w:w="3047" w:type="dxa"/>
            <w:tcBorders>
              <w:top w:val="single" w:color="auto" w:sz="4" w:space="0"/>
              <w:left w:val="single" w:color="auto" w:sz="4" w:space="0"/>
              <w:bottom w:val="single" w:color="auto" w:sz="4" w:space="0"/>
              <w:right w:val="single" w:color="auto" w:sz="4" w:space="0"/>
            </w:tcBorders>
            <w:vAlign w:val="center"/>
          </w:tcPr>
          <w:p>
            <w:pPr>
              <w:spacing w:before="120" w:after="120" w:line="400" w:lineRule="exact"/>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2" w:hRule="atLeast"/>
        </w:trPr>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是否愿意参加分会场报告</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微软雅黑" w:hAnsi="微软雅黑" w:eastAsia="微软雅黑" w:cs="微软雅黑"/>
                <w:b/>
                <w:sz w:val="24"/>
                <w:szCs w:val="24"/>
                <w:u w:val="single"/>
              </w:rPr>
            </w:pPr>
            <w:r>
              <w:rPr>
                <w:rFonts w:ascii="微软雅黑" w:hAnsi="微软雅黑" w:eastAsia="微软雅黑" w:cs="微软雅黑"/>
                <w:b/>
                <w:sz w:val="24"/>
                <w:szCs w:val="24"/>
              </w:rPr>
              <w:sym w:font="Wingdings" w:char="00A8"/>
            </w:r>
            <w:r>
              <w:rPr>
                <w:rFonts w:hint="eastAsia" w:ascii="微软雅黑" w:hAnsi="微软雅黑" w:eastAsia="微软雅黑" w:cs="微软雅黑"/>
                <w:b/>
                <w:sz w:val="24"/>
                <w:szCs w:val="24"/>
              </w:rPr>
              <w:t xml:space="preserve"> 是    </w:t>
            </w:r>
            <w:r>
              <w:rPr>
                <w:rFonts w:ascii="微软雅黑" w:hAnsi="微软雅黑" w:eastAsia="微软雅黑" w:cs="微软雅黑"/>
                <w:b/>
                <w:sz w:val="24"/>
                <w:szCs w:val="24"/>
              </w:rPr>
              <w:sym w:font="Wingdings" w:char="00A8"/>
            </w:r>
            <w:r>
              <w:rPr>
                <w:rFonts w:hint="eastAsia" w:ascii="微软雅黑" w:hAnsi="微软雅黑" w:eastAsia="微软雅黑" w:cs="微软雅黑"/>
                <w:b/>
                <w:sz w:val="24"/>
                <w:szCs w:val="24"/>
              </w:rPr>
              <w:t xml:space="preserve"> 否</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会议论文编号：</w:t>
            </w:r>
          </w:p>
        </w:tc>
        <w:tc>
          <w:tcPr>
            <w:tcW w:w="304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微软雅黑" w:hAnsi="微软雅黑" w:eastAsia="微软雅黑" w:cs="微软雅黑"/>
                <w:b/>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2" w:hRule="atLeast"/>
        </w:trPr>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分会场报告题目（英文）</w:t>
            </w:r>
          </w:p>
        </w:tc>
        <w:tc>
          <w:tcPr>
            <w:tcW w:w="72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2" w:hRule="atLeast"/>
        </w:trPr>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分会场报告所属会议议题</w:t>
            </w:r>
          </w:p>
        </w:tc>
        <w:tc>
          <w:tcPr>
            <w:tcW w:w="72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3" w:hRule="atLeast"/>
        </w:trPr>
        <w:tc>
          <w:tcPr>
            <w:tcW w:w="10021" w:type="dxa"/>
            <w:gridSpan w:val="5"/>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b/>
                <w:sz w:val="24"/>
                <w:szCs w:val="24"/>
              </w:rPr>
            </w:pPr>
            <w:r>
              <w:rPr>
                <w:rFonts w:hint="eastAsia" w:ascii="微软雅黑" w:hAnsi="微软雅黑" w:eastAsia="微软雅黑" w:cs="微软雅黑"/>
                <w:b/>
                <w:sz w:val="24"/>
                <w:szCs w:val="24"/>
              </w:rPr>
              <w:t>主要内容：</w:t>
            </w:r>
          </w:p>
          <w:p>
            <w:pPr>
              <w:rPr>
                <w:rFonts w:ascii="微软雅黑" w:hAnsi="微软雅黑" w:eastAsia="微软雅黑" w:cs="微软雅黑"/>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83" w:hRule="atLeast"/>
        </w:trPr>
        <w:tc>
          <w:tcPr>
            <w:tcW w:w="10021" w:type="dxa"/>
            <w:gridSpan w:val="5"/>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rPr>
              <w:t>其他要求：</w:t>
            </w:r>
          </w:p>
        </w:tc>
      </w:tr>
    </w:tbl>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注：  1、回执请于2019年8月30日前以Email的形式返回；</w:t>
      </w:r>
    </w:p>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2、分会场报告题目所属会议议题请填写邀请函首页会议主要议题中的一项；</w:t>
      </w:r>
    </w:p>
    <w:p>
      <w:pPr>
        <w:spacing w:line="300" w:lineRule="exact"/>
        <w:outlineLvl w:val="0"/>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3、请作者准备20分钟的英文PPT；</w:t>
      </w:r>
    </w:p>
    <w:p>
      <w:pPr>
        <w:spacing w:line="30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4、会议将提前一周发放详细的会议安排及分会场报告顺序；</w:t>
      </w:r>
    </w:p>
    <w:p>
      <w:pPr>
        <w:widowControl/>
        <w:spacing w:line="300" w:lineRule="exact"/>
        <w:ind w:firstLine="720" w:firstLineChars="300"/>
      </w:pPr>
      <w:r>
        <w:rPr>
          <w:rFonts w:hint="eastAsia" w:ascii="微软雅黑" w:hAnsi="微软雅黑" w:eastAsia="微软雅黑" w:cs="微软雅黑"/>
          <w:b/>
          <w:sz w:val="24"/>
          <w:szCs w:val="24"/>
        </w:rPr>
        <w:t>5、按照会务组委会及美国土木工程协会的出版集团的要求，会议论文作者原则上必须参加分会场报告。</w:t>
      </w: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4B03"/>
    <w:multiLevelType w:val="multilevel"/>
    <w:tmpl w:val="55C84B03"/>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5E0C"/>
    <w:rsid w:val="00172A27"/>
    <w:rsid w:val="001842A2"/>
    <w:rsid w:val="001C50DD"/>
    <w:rsid w:val="001D3BCD"/>
    <w:rsid w:val="001E34B6"/>
    <w:rsid w:val="001F4865"/>
    <w:rsid w:val="0022076A"/>
    <w:rsid w:val="003F6C99"/>
    <w:rsid w:val="0040173B"/>
    <w:rsid w:val="0041351B"/>
    <w:rsid w:val="004952C0"/>
    <w:rsid w:val="004B00D6"/>
    <w:rsid w:val="004D2B40"/>
    <w:rsid w:val="0067731E"/>
    <w:rsid w:val="006D78CE"/>
    <w:rsid w:val="00774C24"/>
    <w:rsid w:val="007B57A8"/>
    <w:rsid w:val="008119A9"/>
    <w:rsid w:val="00853C8F"/>
    <w:rsid w:val="008611A8"/>
    <w:rsid w:val="008E2D75"/>
    <w:rsid w:val="00934134"/>
    <w:rsid w:val="009649A5"/>
    <w:rsid w:val="00994850"/>
    <w:rsid w:val="009E15F7"/>
    <w:rsid w:val="009F5BDF"/>
    <w:rsid w:val="009F638B"/>
    <w:rsid w:val="00A60858"/>
    <w:rsid w:val="00A72EDD"/>
    <w:rsid w:val="00A743AD"/>
    <w:rsid w:val="00A74A6E"/>
    <w:rsid w:val="00BA7164"/>
    <w:rsid w:val="00CF0131"/>
    <w:rsid w:val="00CF2F96"/>
    <w:rsid w:val="00D50546"/>
    <w:rsid w:val="00D70B91"/>
    <w:rsid w:val="00DA7628"/>
    <w:rsid w:val="00DC4574"/>
    <w:rsid w:val="00E10C9E"/>
    <w:rsid w:val="00E53A62"/>
    <w:rsid w:val="00EF76A8"/>
    <w:rsid w:val="00F3083B"/>
    <w:rsid w:val="00F4536D"/>
    <w:rsid w:val="09C94B9B"/>
    <w:rsid w:val="0AA83828"/>
    <w:rsid w:val="0ABB0488"/>
    <w:rsid w:val="0B7B7DE4"/>
    <w:rsid w:val="0EEA0A05"/>
    <w:rsid w:val="1F730AA4"/>
    <w:rsid w:val="31D333D9"/>
    <w:rsid w:val="32E80292"/>
    <w:rsid w:val="38C2712E"/>
    <w:rsid w:val="3BFD708D"/>
    <w:rsid w:val="4D9E38E4"/>
    <w:rsid w:val="53796715"/>
    <w:rsid w:val="61204966"/>
    <w:rsid w:val="62723AEF"/>
    <w:rsid w:val="666E55F9"/>
    <w:rsid w:val="68061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10">
    <w:name w:val="批注框文本 Char"/>
    <w:basedOn w:val="8"/>
    <w:link w:val="3"/>
    <w:semiHidden/>
    <w:qFormat/>
    <w:uiPriority w:val="99"/>
    <w:rPr>
      <w:kern w:val="2"/>
      <w:sz w:val="18"/>
      <w:szCs w:val="18"/>
    </w:rPr>
  </w:style>
  <w:style w:type="character" w:customStyle="1" w:styleId="11">
    <w:name w:val="日期 Char"/>
    <w:basedOn w:val="8"/>
    <w:link w:val="2"/>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BD717-E018-4288-B777-0EEF19186AD0}">
  <ds:schemaRefs/>
</ds:datastoreItem>
</file>

<file path=docProps/app.xml><?xml version="1.0" encoding="utf-8"?>
<Properties xmlns="http://schemas.openxmlformats.org/officeDocument/2006/extended-properties" xmlns:vt="http://schemas.openxmlformats.org/officeDocument/2006/docPropsVTypes">
  <Template>Normal.dotm</Template>
  <Company>SWJTU</Company>
  <Pages>7</Pages>
  <Words>2006</Words>
  <Characters>2756</Characters>
  <Lines>24</Lines>
  <Paragraphs>6</Paragraphs>
  <TotalTime>199</TotalTime>
  <ScaleCrop>false</ScaleCrop>
  <LinksUpToDate>false</LinksUpToDate>
  <CharactersWithSpaces>3045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2015-08-10T06:53:00Z</dcterms:created>
  <dc:creator>10240</dc:creator>
  <cp:lastModifiedBy>ლ(•̀ _ •́ ლ)</cp:lastModifiedBy>
  <cp:lastPrinted>2015-08-31T09:03:00Z</cp:lastPrinted>
  <dcterms:modified xsi:type="dcterms:W3CDTF">2019-08-23T13:56:44Z</dcterms:modified>
  <dc:title>_x000f__x0001_</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